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7A5" w:rsidRDefault="009F77A5" w:rsidP="009F77A5">
      <w:pPr>
        <w:jc w:val="center"/>
        <w:rPr>
          <w:rFonts w:ascii="Times New Roman" w:hAnsi="Times New Roman" w:cs="Times New Roman"/>
          <w:sz w:val="24"/>
          <w:szCs w:val="24"/>
        </w:rPr>
      </w:pPr>
    </w:p>
    <w:p w:rsidR="009F77A5" w:rsidRDefault="009F77A5" w:rsidP="009F77A5">
      <w:pPr>
        <w:jc w:val="center"/>
        <w:rPr>
          <w:rFonts w:ascii="Times New Roman" w:hAnsi="Times New Roman" w:cs="Times New Roman"/>
          <w:sz w:val="24"/>
          <w:szCs w:val="24"/>
        </w:rPr>
      </w:pPr>
    </w:p>
    <w:p w:rsidR="009F77A5" w:rsidRDefault="009F77A5" w:rsidP="009F77A5">
      <w:pPr>
        <w:jc w:val="center"/>
        <w:rPr>
          <w:rFonts w:ascii="Times New Roman" w:hAnsi="Times New Roman" w:cs="Times New Roman"/>
          <w:sz w:val="24"/>
          <w:szCs w:val="24"/>
        </w:rPr>
      </w:pPr>
    </w:p>
    <w:p w:rsidR="009F77A5" w:rsidRDefault="009F77A5" w:rsidP="009F77A5">
      <w:pPr>
        <w:jc w:val="center"/>
        <w:rPr>
          <w:rFonts w:ascii="Times New Roman" w:hAnsi="Times New Roman" w:cs="Times New Roman"/>
          <w:sz w:val="24"/>
          <w:szCs w:val="24"/>
        </w:rPr>
      </w:pPr>
    </w:p>
    <w:p w:rsidR="009F77A5" w:rsidRDefault="009F77A5" w:rsidP="009F77A5">
      <w:pPr>
        <w:jc w:val="center"/>
        <w:rPr>
          <w:rFonts w:ascii="Times New Roman" w:hAnsi="Times New Roman" w:cs="Times New Roman"/>
          <w:sz w:val="24"/>
          <w:szCs w:val="24"/>
        </w:rPr>
      </w:pPr>
    </w:p>
    <w:p w:rsidR="009F77A5" w:rsidRDefault="009F77A5" w:rsidP="009F77A5">
      <w:pPr>
        <w:jc w:val="center"/>
        <w:rPr>
          <w:rFonts w:ascii="Times New Roman" w:hAnsi="Times New Roman" w:cs="Times New Roman"/>
          <w:sz w:val="24"/>
          <w:szCs w:val="24"/>
        </w:rPr>
      </w:pPr>
    </w:p>
    <w:p w:rsidR="009F77A5" w:rsidRDefault="009F77A5" w:rsidP="009F77A5">
      <w:pPr>
        <w:jc w:val="center"/>
        <w:rPr>
          <w:rFonts w:ascii="Times New Roman" w:hAnsi="Times New Roman" w:cs="Times New Roman"/>
          <w:sz w:val="24"/>
          <w:szCs w:val="24"/>
        </w:rPr>
      </w:pPr>
    </w:p>
    <w:p w:rsidR="00F36C82" w:rsidRPr="009F77A5" w:rsidRDefault="006E78E5" w:rsidP="009F04F3">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9F77A5" w:rsidRPr="009F77A5">
        <w:rPr>
          <w:rFonts w:ascii="Times New Roman" w:hAnsi="Times New Roman" w:cs="Times New Roman"/>
          <w:sz w:val="24"/>
          <w:szCs w:val="24"/>
        </w:rPr>
        <w:t>They say I say</w:t>
      </w:r>
      <w:r>
        <w:rPr>
          <w:rFonts w:ascii="Times New Roman" w:hAnsi="Times New Roman" w:cs="Times New Roman"/>
          <w:sz w:val="24"/>
          <w:szCs w:val="24"/>
        </w:rPr>
        <w:t>”</w:t>
      </w:r>
    </w:p>
    <w:p w:rsidR="009F77A5" w:rsidRPr="009F77A5" w:rsidRDefault="006E78E5" w:rsidP="009F04F3">
      <w:pPr>
        <w:spacing w:line="480" w:lineRule="auto"/>
        <w:jc w:val="center"/>
        <w:rPr>
          <w:rFonts w:ascii="Times New Roman" w:hAnsi="Times New Roman" w:cs="Times New Roman"/>
          <w:sz w:val="24"/>
          <w:szCs w:val="24"/>
        </w:rPr>
      </w:pPr>
      <w:r w:rsidRPr="009F77A5">
        <w:rPr>
          <w:rFonts w:ascii="Times New Roman" w:hAnsi="Times New Roman" w:cs="Times New Roman"/>
          <w:sz w:val="24"/>
          <w:szCs w:val="24"/>
        </w:rPr>
        <w:t>Student’s Name</w:t>
      </w:r>
    </w:p>
    <w:p w:rsidR="009F77A5" w:rsidRPr="009F77A5" w:rsidRDefault="006E78E5" w:rsidP="009F04F3">
      <w:pPr>
        <w:spacing w:line="480" w:lineRule="auto"/>
        <w:jc w:val="center"/>
        <w:rPr>
          <w:rFonts w:ascii="Times New Roman" w:hAnsi="Times New Roman" w:cs="Times New Roman"/>
          <w:sz w:val="24"/>
          <w:szCs w:val="24"/>
        </w:rPr>
      </w:pPr>
      <w:r w:rsidRPr="009F77A5">
        <w:rPr>
          <w:rFonts w:ascii="Times New Roman" w:hAnsi="Times New Roman" w:cs="Times New Roman"/>
          <w:sz w:val="24"/>
          <w:szCs w:val="24"/>
        </w:rPr>
        <w:t>Institutional Affiliation</w:t>
      </w:r>
    </w:p>
    <w:p w:rsidR="009F77A5" w:rsidRDefault="009F77A5"/>
    <w:p w:rsidR="009F77A5" w:rsidRPr="009F77A5" w:rsidRDefault="009F77A5" w:rsidP="009F77A5"/>
    <w:p w:rsidR="009F77A5" w:rsidRPr="009F77A5" w:rsidRDefault="009F77A5" w:rsidP="009F77A5"/>
    <w:p w:rsidR="009F77A5" w:rsidRPr="009F77A5" w:rsidRDefault="009F77A5" w:rsidP="009F77A5"/>
    <w:p w:rsidR="009F77A5" w:rsidRPr="009F77A5" w:rsidRDefault="009F77A5" w:rsidP="009F77A5"/>
    <w:p w:rsidR="009F77A5" w:rsidRPr="009F77A5" w:rsidRDefault="009F77A5" w:rsidP="009F77A5"/>
    <w:p w:rsidR="009F77A5" w:rsidRPr="009F77A5" w:rsidRDefault="009F77A5" w:rsidP="009F77A5"/>
    <w:p w:rsidR="009F77A5" w:rsidRPr="009F77A5" w:rsidRDefault="009F77A5" w:rsidP="009F77A5"/>
    <w:p w:rsidR="009F77A5" w:rsidRPr="009F77A5" w:rsidRDefault="009F77A5" w:rsidP="009F77A5"/>
    <w:p w:rsidR="009F77A5" w:rsidRDefault="009F77A5" w:rsidP="009F77A5"/>
    <w:p w:rsidR="009F77A5" w:rsidRDefault="006E78E5" w:rsidP="009F77A5">
      <w:pPr>
        <w:tabs>
          <w:tab w:val="left" w:pos="6630"/>
        </w:tabs>
      </w:pPr>
      <w:r>
        <w:tab/>
      </w:r>
    </w:p>
    <w:p w:rsidR="009F77A5" w:rsidRDefault="009F77A5" w:rsidP="009F77A5">
      <w:pPr>
        <w:tabs>
          <w:tab w:val="left" w:pos="6630"/>
        </w:tabs>
      </w:pPr>
      <w:bookmarkStart w:id="0" w:name="_GoBack"/>
      <w:bookmarkEnd w:id="0"/>
    </w:p>
    <w:p w:rsidR="009F77A5" w:rsidRDefault="009F77A5" w:rsidP="009F77A5">
      <w:pPr>
        <w:tabs>
          <w:tab w:val="left" w:pos="6630"/>
        </w:tabs>
      </w:pPr>
    </w:p>
    <w:p w:rsidR="009F77A5" w:rsidRDefault="009F77A5" w:rsidP="009F77A5">
      <w:pPr>
        <w:tabs>
          <w:tab w:val="left" w:pos="6630"/>
        </w:tabs>
      </w:pPr>
    </w:p>
    <w:p w:rsidR="009F77A5" w:rsidRDefault="009F77A5" w:rsidP="009F77A5">
      <w:pPr>
        <w:tabs>
          <w:tab w:val="left" w:pos="6630"/>
        </w:tabs>
      </w:pPr>
    </w:p>
    <w:p w:rsidR="009F77A5" w:rsidRDefault="009F77A5" w:rsidP="009F77A5">
      <w:pPr>
        <w:tabs>
          <w:tab w:val="left" w:pos="6630"/>
        </w:tabs>
      </w:pPr>
    </w:p>
    <w:p w:rsidR="009F77A5" w:rsidRDefault="009F77A5" w:rsidP="009F77A5">
      <w:pPr>
        <w:tabs>
          <w:tab w:val="left" w:pos="6630"/>
        </w:tabs>
      </w:pPr>
    </w:p>
    <w:p w:rsidR="009F77A5" w:rsidRDefault="009F77A5" w:rsidP="009F77A5">
      <w:pPr>
        <w:tabs>
          <w:tab w:val="left" w:pos="6630"/>
        </w:tabs>
      </w:pPr>
    </w:p>
    <w:p w:rsidR="009F77A5" w:rsidRDefault="009F77A5" w:rsidP="009F77A5">
      <w:pPr>
        <w:tabs>
          <w:tab w:val="left" w:pos="6630"/>
        </w:tabs>
      </w:pPr>
    </w:p>
    <w:p w:rsidR="009F77A5" w:rsidRPr="003C65A1" w:rsidRDefault="006E78E5" w:rsidP="00751106">
      <w:pPr>
        <w:tabs>
          <w:tab w:val="left" w:pos="6630"/>
        </w:tabs>
        <w:jc w:val="center"/>
        <w:rPr>
          <w:rFonts w:ascii="Times New Roman" w:hAnsi="Times New Roman" w:cs="Times New Roman"/>
          <w:b/>
          <w:sz w:val="24"/>
          <w:szCs w:val="24"/>
        </w:rPr>
      </w:pPr>
      <w:r>
        <w:rPr>
          <w:rFonts w:ascii="Times New Roman" w:hAnsi="Times New Roman" w:cs="Times New Roman"/>
          <w:b/>
          <w:sz w:val="24"/>
          <w:szCs w:val="24"/>
        </w:rPr>
        <w:t>“</w:t>
      </w:r>
      <w:r w:rsidR="00751106" w:rsidRPr="003C65A1">
        <w:rPr>
          <w:rFonts w:ascii="Times New Roman" w:hAnsi="Times New Roman" w:cs="Times New Roman"/>
          <w:b/>
          <w:sz w:val="24"/>
          <w:szCs w:val="24"/>
        </w:rPr>
        <w:t>They say I say</w:t>
      </w:r>
      <w:r>
        <w:rPr>
          <w:rFonts w:ascii="Times New Roman" w:hAnsi="Times New Roman" w:cs="Times New Roman"/>
          <w:b/>
          <w:sz w:val="24"/>
          <w:szCs w:val="24"/>
        </w:rPr>
        <w:t>”</w:t>
      </w:r>
      <w:r w:rsidR="00751106" w:rsidRPr="003C65A1">
        <w:rPr>
          <w:rFonts w:ascii="Times New Roman" w:hAnsi="Times New Roman" w:cs="Times New Roman"/>
          <w:b/>
          <w:sz w:val="24"/>
          <w:szCs w:val="24"/>
        </w:rPr>
        <w:t xml:space="preserve"> </w:t>
      </w:r>
    </w:p>
    <w:p w:rsidR="007E7EAA" w:rsidRDefault="006E78E5" w:rsidP="003C65A1">
      <w:pPr>
        <w:tabs>
          <w:tab w:val="left" w:pos="663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51106">
        <w:rPr>
          <w:rFonts w:ascii="Times New Roman" w:hAnsi="Times New Roman" w:cs="Times New Roman"/>
          <w:sz w:val="24"/>
          <w:szCs w:val="24"/>
        </w:rPr>
        <w:t xml:space="preserve">“They </w:t>
      </w:r>
      <w:r w:rsidR="0003624F">
        <w:rPr>
          <w:rFonts w:ascii="Times New Roman" w:hAnsi="Times New Roman" w:cs="Times New Roman"/>
          <w:sz w:val="24"/>
          <w:szCs w:val="24"/>
        </w:rPr>
        <w:t>S</w:t>
      </w:r>
      <w:r w:rsidR="00751106">
        <w:rPr>
          <w:rFonts w:ascii="Times New Roman" w:hAnsi="Times New Roman" w:cs="Times New Roman"/>
          <w:sz w:val="24"/>
          <w:szCs w:val="24"/>
        </w:rPr>
        <w:t xml:space="preserve">ay I </w:t>
      </w:r>
      <w:r w:rsidR="0003624F">
        <w:rPr>
          <w:rFonts w:ascii="Times New Roman" w:hAnsi="Times New Roman" w:cs="Times New Roman"/>
          <w:sz w:val="24"/>
          <w:szCs w:val="24"/>
        </w:rPr>
        <w:t>S</w:t>
      </w:r>
      <w:r w:rsidR="00751106">
        <w:rPr>
          <w:rFonts w:ascii="Times New Roman" w:hAnsi="Times New Roman" w:cs="Times New Roman"/>
          <w:sz w:val="24"/>
          <w:szCs w:val="24"/>
        </w:rPr>
        <w:t>ay” by Gerald</w:t>
      </w:r>
      <w:r w:rsidR="0003624F">
        <w:rPr>
          <w:rFonts w:ascii="Times New Roman" w:hAnsi="Times New Roman" w:cs="Times New Roman"/>
          <w:sz w:val="24"/>
          <w:szCs w:val="24"/>
        </w:rPr>
        <w:t xml:space="preserve"> Graff and Cathy Birkenstein</w:t>
      </w:r>
      <w:r w:rsidR="00751106">
        <w:rPr>
          <w:rFonts w:ascii="Times New Roman" w:hAnsi="Times New Roman" w:cs="Times New Roman"/>
          <w:sz w:val="24"/>
          <w:szCs w:val="24"/>
        </w:rPr>
        <w:t xml:space="preserve"> </w:t>
      </w:r>
      <w:r w:rsidR="0003624F">
        <w:rPr>
          <w:rFonts w:ascii="Times New Roman" w:hAnsi="Times New Roman" w:cs="Times New Roman"/>
          <w:sz w:val="24"/>
          <w:szCs w:val="24"/>
        </w:rPr>
        <w:t>is an essential book which contains guidelines on what and how to write in different situations</w:t>
      </w:r>
      <w:r w:rsidR="0043492F">
        <w:rPr>
          <w:rFonts w:ascii="Times New Roman" w:hAnsi="Times New Roman" w:cs="Times New Roman"/>
          <w:sz w:val="24"/>
          <w:szCs w:val="24"/>
        </w:rPr>
        <w:t xml:space="preserve"> and contexts</w:t>
      </w:r>
      <w:r w:rsidR="0003624F">
        <w:rPr>
          <w:rFonts w:ascii="Times New Roman" w:hAnsi="Times New Roman" w:cs="Times New Roman"/>
          <w:sz w:val="24"/>
          <w:szCs w:val="24"/>
        </w:rPr>
        <w:t xml:space="preserve">. It has templates for making statements and how to illustrate ideas. It also has examples of ways in which the templates can be used. In the book, the authors seek to demystify </w:t>
      </w:r>
      <w:r w:rsidR="0043492F">
        <w:rPr>
          <w:rFonts w:ascii="Times New Roman" w:hAnsi="Times New Roman" w:cs="Times New Roman"/>
          <w:sz w:val="24"/>
          <w:szCs w:val="24"/>
        </w:rPr>
        <w:t>academic writing by teaching students and other writers to frame their arguments in anythi</w:t>
      </w:r>
      <w:r>
        <w:rPr>
          <w:rFonts w:ascii="Times New Roman" w:hAnsi="Times New Roman" w:cs="Times New Roman"/>
          <w:sz w:val="24"/>
          <w:szCs w:val="24"/>
        </w:rPr>
        <w:t>ng else said about their topic. The book is divided into three parts: part one is about “They Say” and carries chapter I, 2 and 3. Part two is on “I Say” and carries chapter 4 to chapter 8. Part 3 is entitled “TYIN</w:t>
      </w:r>
      <w:r>
        <w:rPr>
          <w:rFonts w:ascii="Times New Roman" w:hAnsi="Times New Roman" w:cs="Times New Roman"/>
          <w:sz w:val="24"/>
          <w:szCs w:val="24"/>
        </w:rPr>
        <w:t>G IT ALL TOGETHER” and consists of chapters 8, 9 and 10.</w:t>
      </w:r>
      <w:r w:rsidR="009F04F3">
        <w:rPr>
          <w:rFonts w:ascii="Times New Roman" w:hAnsi="Times New Roman" w:cs="Times New Roman"/>
          <w:sz w:val="24"/>
          <w:szCs w:val="24"/>
        </w:rPr>
        <w:t xml:space="preserve"> This paper presents a synopsis of this book highlighting the fundamental ideas of the authors in each chapter. </w:t>
      </w:r>
    </w:p>
    <w:p w:rsidR="003461BE" w:rsidRDefault="006E78E5" w:rsidP="003C65A1">
      <w:pPr>
        <w:tabs>
          <w:tab w:val="left" w:pos="663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3492F">
        <w:rPr>
          <w:rFonts w:ascii="Times New Roman" w:hAnsi="Times New Roman" w:cs="Times New Roman"/>
          <w:sz w:val="24"/>
          <w:szCs w:val="24"/>
        </w:rPr>
        <w:t>The authors start by introducing the first templates for they say in the first chapter of the book. They articulate how one can write what someone else is saying effectively (pg.22).</w:t>
      </w:r>
      <w:r w:rsidR="00D66A96">
        <w:rPr>
          <w:rFonts w:ascii="Times New Roman" w:hAnsi="Times New Roman" w:cs="Times New Roman"/>
          <w:sz w:val="24"/>
          <w:szCs w:val="24"/>
        </w:rPr>
        <w:t xml:space="preserve"> This chapter proceeds to give templates on the things you might believe in or the ideas that may be assumed or implied. Generall</w:t>
      </w:r>
      <w:r w:rsidR="009F04F3">
        <w:rPr>
          <w:rFonts w:ascii="Times New Roman" w:hAnsi="Times New Roman" w:cs="Times New Roman"/>
          <w:sz w:val="24"/>
          <w:szCs w:val="24"/>
        </w:rPr>
        <w:t>y, t</w:t>
      </w:r>
      <w:r w:rsidR="00D66A96">
        <w:rPr>
          <w:rFonts w:ascii="Times New Roman" w:hAnsi="Times New Roman" w:cs="Times New Roman"/>
          <w:sz w:val="24"/>
          <w:szCs w:val="24"/>
        </w:rPr>
        <w:t>his chapter provides a detailed understanding of how to make a point or share a particular belief through writing.</w:t>
      </w:r>
    </w:p>
    <w:p w:rsidR="003461BE" w:rsidRDefault="006E78E5" w:rsidP="003C65A1">
      <w:pPr>
        <w:tabs>
          <w:tab w:val="left" w:pos="663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66A96">
        <w:rPr>
          <w:rFonts w:ascii="Times New Roman" w:hAnsi="Times New Roman" w:cs="Times New Roman"/>
          <w:sz w:val="24"/>
          <w:szCs w:val="24"/>
        </w:rPr>
        <w:t xml:space="preserve">The second chapter </w:t>
      </w:r>
      <w:r w:rsidR="009F04F3">
        <w:rPr>
          <w:rFonts w:ascii="Times New Roman" w:hAnsi="Times New Roman" w:cs="Times New Roman"/>
          <w:sz w:val="24"/>
          <w:szCs w:val="24"/>
        </w:rPr>
        <w:t xml:space="preserve">(pg. 30-40) </w:t>
      </w:r>
      <w:r w:rsidR="00D66A96">
        <w:rPr>
          <w:rFonts w:ascii="Times New Roman" w:hAnsi="Times New Roman" w:cs="Times New Roman"/>
          <w:sz w:val="24"/>
          <w:szCs w:val="24"/>
        </w:rPr>
        <w:t xml:space="preserve">on "Her Point is" of this book; the authors give a guideline on how to make a good summary. The authors give insights into the art of summarizing, the reason why people do it and why others despise it. </w:t>
      </w:r>
      <w:r w:rsidR="009948EA">
        <w:rPr>
          <w:rFonts w:ascii="Times New Roman" w:hAnsi="Times New Roman" w:cs="Times New Roman"/>
          <w:sz w:val="24"/>
          <w:szCs w:val="24"/>
        </w:rPr>
        <w:t>The</w:t>
      </w:r>
      <w:r w:rsidR="00D66A96">
        <w:rPr>
          <w:rFonts w:ascii="Times New Roman" w:hAnsi="Times New Roman" w:cs="Times New Roman"/>
          <w:sz w:val="24"/>
          <w:szCs w:val="24"/>
        </w:rPr>
        <w:t xml:space="preserve"> authors argue that to write a summary, the author has to isolate his/her ideas and try to show the real essence of the piece of writing they are working on. The authors </w:t>
      </w:r>
      <w:r w:rsidR="009948EA">
        <w:rPr>
          <w:rFonts w:ascii="Times New Roman" w:hAnsi="Times New Roman" w:cs="Times New Roman"/>
          <w:sz w:val="24"/>
          <w:szCs w:val="24"/>
        </w:rPr>
        <w:t>acknowledge</w:t>
      </w:r>
      <w:r w:rsidR="00D66A96">
        <w:rPr>
          <w:rFonts w:ascii="Times New Roman" w:hAnsi="Times New Roman" w:cs="Times New Roman"/>
          <w:sz w:val="24"/>
          <w:szCs w:val="24"/>
        </w:rPr>
        <w:t xml:space="preserve"> that the writer has to concentrate on </w:t>
      </w:r>
      <w:r w:rsidR="009948EA">
        <w:rPr>
          <w:rFonts w:ascii="Times New Roman" w:hAnsi="Times New Roman" w:cs="Times New Roman"/>
          <w:sz w:val="24"/>
          <w:szCs w:val="24"/>
        </w:rPr>
        <w:t>referring</w:t>
      </w:r>
      <w:r w:rsidR="00D66A96">
        <w:rPr>
          <w:rFonts w:ascii="Times New Roman" w:hAnsi="Times New Roman" w:cs="Times New Roman"/>
          <w:sz w:val="24"/>
          <w:szCs w:val="24"/>
        </w:rPr>
        <w:t xml:space="preserve"> back to the original text in order to avoid </w:t>
      </w:r>
      <w:r w:rsidR="009948EA">
        <w:rPr>
          <w:rFonts w:ascii="Times New Roman" w:hAnsi="Times New Roman" w:cs="Times New Roman"/>
          <w:sz w:val="24"/>
          <w:szCs w:val="24"/>
        </w:rPr>
        <w:t xml:space="preserve">personal interpretation of the text. In the next chapter, </w:t>
      </w:r>
      <w:r w:rsidR="006D7DCE">
        <w:rPr>
          <w:rFonts w:ascii="Times New Roman" w:hAnsi="Times New Roman" w:cs="Times New Roman"/>
          <w:sz w:val="24"/>
          <w:szCs w:val="24"/>
        </w:rPr>
        <w:t xml:space="preserve">“As He </w:t>
      </w:r>
      <w:r w:rsidR="006D7DCE">
        <w:rPr>
          <w:rFonts w:ascii="Times New Roman" w:hAnsi="Times New Roman" w:cs="Times New Roman"/>
          <w:sz w:val="24"/>
          <w:szCs w:val="24"/>
        </w:rPr>
        <w:lastRenderedPageBreak/>
        <w:t>Himself Puts it|”</w:t>
      </w:r>
      <w:r w:rsidR="00ED405F">
        <w:rPr>
          <w:rFonts w:ascii="Times New Roman" w:hAnsi="Times New Roman" w:cs="Times New Roman"/>
          <w:sz w:val="24"/>
          <w:szCs w:val="24"/>
        </w:rPr>
        <w:t xml:space="preserve">, the author teaches students how to do quotations highlighting the importance of attribution (pg.42-50). This chapter is very important to students as it can help them to avoid plagiarism in academic writing. </w:t>
      </w:r>
    </w:p>
    <w:p w:rsidR="00F954F6" w:rsidRDefault="006E78E5" w:rsidP="003C65A1">
      <w:pPr>
        <w:tabs>
          <w:tab w:val="left" w:pos="663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D405F">
        <w:rPr>
          <w:rFonts w:ascii="Times New Roman" w:hAnsi="Times New Roman" w:cs="Times New Roman"/>
          <w:sz w:val="24"/>
          <w:szCs w:val="24"/>
        </w:rPr>
        <w:t>In chapter four</w:t>
      </w:r>
      <w:r w:rsidR="009F04F3">
        <w:rPr>
          <w:rFonts w:ascii="Times New Roman" w:hAnsi="Times New Roman" w:cs="Times New Roman"/>
          <w:sz w:val="24"/>
          <w:szCs w:val="24"/>
        </w:rPr>
        <w:t xml:space="preserve"> (pg. 55-67)</w:t>
      </w:r>
      <w:r w:rsidR="00ED405F">
        <w:rPr>
          <w:rFonts w:ascii="Times New Roman" w:hAnsi="Times New Roman" w:cs="Times New Roman"/>
          <w:sz w:val="24"/>
          <w:szCs w:val="24"/>
        </w:rPr>
        <w:t>, Graff and Birkenstein highlight three ways of engagement with the literature. These are agreeing, d</w:t>
      </w:r>
      <w:r>
        <w:rPr>
          <w:rFonts w:ascii="Times New Roman" w:hAnsi="Times New Roman" w:cs="Times New Roman"/>
          <w:sz w:val="24"/>
          <w:szCs w:val="24"/>
        </w:rPr>
        <w:t>isagreeing or a combination of the two.</w:t>
      </w:r>
      <w:r w:rsidR="00D03D15">
        <w:rPr>
          <w:rFonts w:ascii="Times New Roman" w:hAnsi="Times New Roman" w:cs="Times New Roman"/>
          <w:sz w:val="24"/>
          <w:szCs w:val="24"/>
        </w:rPr>
        <w:t xml:space="preserve"> </w:t>
      </w:r>
      <w:r>
        <w:rPr>
          <w:rFonts w:ascii="Times New Roman" w:hAnsi="Times New Roman" w:cs="Times New Roman"/>
          <w:sz w:val="24"/>
          <w:szCs w:val="24"/>
        </w:rPr>
        <w:t>Chapter five</w:t>
      </w:r>
      <w:r w:rsidR="009F04F3">
        <w:rPr>
          <w:rFonts w:ascii="Times New Roman" w:hAnsi="Times New Roman" w:cs="Times New Roman"/>
          <w:sz w:val="24"/>
          <w:szCs w:val="24"/>
        </w:rPr>
        <w:t xml:space="preserve"> (pg.68-75)</w:t>
      </w:r>
      <w:r>
        <w:rPr>
          <w:rFonts w:ascii="Times New Roman" w:hAnsi="Times New Roman" w:cs="Times New Roman"/>
          <w:sz w:val="24"/>
          <w:szCs w:val="24"/>
        </w:rPr>
        <w:t xml:space="preserve"> shows the importance of how to use dialogue properly. The authors emphasize the importance </w:t>
      </w:r>
      <w:r w:rsidR="00841441">
        <w:rPr>
          <w:rFonts w:ascii="Times New Roman" w:hAnsi="Times New Roman" w:cs="Times New Roman"/>
          <w:sz w:val="24"/>
          <w:szCs w:val="24"/>
        </w:rPr>
        <w:t>of ensuring that a reader easily distinguishes "they say" from "I say." They explain that to avoid the conclusion, the writer must use voice markers to enable the reader to distinguish different perspectives in the essay.</w:t>
      </w:r>
      <w:r w:rsidR="00EE7FEA">
        <w:rPr>
          <w:rFonts w:ascii="Times New Roman" w:hAnsi="Times New Roman" w:cs="Times New Roman"/>
          <w:sz w:val="24"/>
          <w:szCs w:val="24"/>
        </w:rPr>
        <w:t xml:space="preserve"> In chapter six, the authors highlight the importance of naysayers and critics. They argue that such using criticism from others will increase your writing skills as well give your writings more credibility. It also helps you think about what others will have to say against your arguments.</w:t>
      </w:r>
    </w:p>
    <w:p w:rsidR="00D03D15" w:rsidRDefault="006E78E5" w:rsidP="003C65A1">
      <w:pPr>
        <w:tabs>
          <w:tab w:val="left" w:pos="663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E7FEA">
        <w:rPr>
          <w:rFonts w:ascii="Times New Roman" w:hAnsi="Times New Roman" w:cs="Times New Roman"/>
          <w:sz w:val="24"/>
          <w:szCs w:val="24"/>
        </w:rPr>
        <w:t xml:space="preserve">In chapter seven, </w:t>
      </w:r>
      <w:r w:rsidR="00A641B2">
        <w:rPr>
          <w:rFonts w:ascii="Times New Roman" w:hAnsi="Times New Roman" w:cs="Times New Roman"/>
          <w:sz w:val="24"/>
          <w:szCs w:val="24"/>
        </w:rPr>
        <w:t>(pg. 92-100), the authors help the reader to explain why the analysis presented throughout the paper may be useful. The "Who Cares" asks you to establish a group (or a person) while the "</w:t>
      </w:r>
      <w:r>
        <w:rPr>
          <w:rFonts w:ascii="Times New Roman" w:hAnsi="Times New Roman" w:cs="Times New Roman"/>
          <w:sz w:val="24"/>
          <w:szCs w:val="24"/>
        </w:rPr>
        <w:t>S</w:t>
      </w:r>
      <w:r w:rsidR="00CB5544">
        <w:rPr>
          <w:rFonts w:ascii="Times New Roman" w:hAnsi="Times New Roman" w:cs="Times New Roman"/>
          <w:sz w:val="24"/>
          <w:szCs w:val="24"/>
        </w:rPr>
        <w:t xml:space="preserve">o </w:t>
      </w:r>
      <w:r w:rsidR="00A641B2">
        <w:rPr>
          <w:rFonts w:ascii="Times New Roman" w:hAnsi="Times New Roman" w:cs="Times New Roman"/>
          <w:sz w:val="24"/>
          <w:szCs w:val="24"/>
        </w:rPr>
        <w:t xml:space="preserve">What” seeks to know about the real-world applications and consequences of the arguments. In part 3 of the book (TYING IT ALL TOGETHER), chapter 8 introduces the proper way to connect and arrange your ideas together to make it easy to read. This </w:t>
      </w:r>
      <w:r w:rsidR="00CB5544">
        <w:rPr>
          <w:rFonts w:ascii="Times New Roman" w:hAnsi="Times New Roman" w:cs="Times New Roman"/>
          <w:sz w:val="24"/>
          <w:szCs w:val="24"/>
        </w:rPr>
        <w:t>chapter demonstrates how to effectively tie an argument together by combining the various parts of that</w:t>
      </w:r>
      <w:r w:rsidR="009F04F3">
        <w:rPr>
          <w:rFonts w:ascii="Times New Roman" w:hAnsi="Times New Roman" w:cs="Times New Roman"/>
          <w:sz w:val="24"/>
          <w:szCs w:val="24"/>
        </w:rPr>
        <w:t xml:space="preserve"> argument (pg.105-117).</w:t>
      </w:r>
    </w:p>
    <w:p w:rsidR="00EE7FEA" w:rsidRPr="00751106" w:rsidRDefault="006E78E5" w:rsidP="003C65A1">
      <w:pPr>
        <w:tabs>
          <w:tab w:val="left" w:pos="663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B5544">
        <w:rPr>
          <w:rFonts w:ascii="Times New Roman" w:hAnsi="Times New Roman" w:cs="Times New Roman"/>
          <w:sz w:val="24"/>
          <w:szCs w:val="24"/>
        </w:rPr>
        <w:t xml:space="preserve"> Chapter 9 teaches that writing should be relaxed and comfortable to follow. The authors illustrate the importance of taking into account the audience to who you are writing to and the purpose of writing. Chapter 10 is about metacommentary whereby the authors point out that this </w:t>
      </w:r>
      <w:r w:rsidR="00CB5544">
        <w:rPr>
          <w:rFonts w:ascii="Times New Roman" w:hAnsi="Times New Roman" w:cs="Times New Roman"/>
          <w:sz w:val="24"/>
          <w:szCs w:val="24"/>
        </w:rPr>
        <w:lastRenderedPageBreak/>
        <w:t>is a method of commenting on your ideas and telling the readers how and how not think about them. It is a way of guiding the readers by telling them what you mean in your text.</w:t>
      </w:r>
    </w:p>
    <w:sectPr w:rsidR="00EE7FEA" w:rsidRPr="00751106" w:rsidSect="000A48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78E5" w:rsidRDefault="006E78E5">
      <w:pPr>
        <w:spacing w:after="0" w:line="240" w:lineRule="auto"/>
      </w:pPr>
      <w:r>
        <w:separator/>
      </w:r>
    </w:p>
  </w:endnote>
  <w:endnote w:type="continuationSeparator" w:id="0">
    <w:p w:rsidR="006E78E5" w:rsidRDefault="006E7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78E5" w:rsidRDefault="006E78E5">
      <w:pPr>
        <w:spacing w:after="0" w:line="240" w:lineRule="auto"/>
      </w:pPr>
      <w:r>
        <w:separator/>
      </w:r>
    </w:p>
  </w:footnote>
  <w:footnote w:type="continuationSeparator" w:id="0">
    <w:p w:rsidR="006E78E5" w:rsidRDefault="006E78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6087291"/>
      <w:docPartObj>
        <w:docPartGallery w:val="Page Numbers (Top of Page)"/>
        <w:docPartUnique/>
      </w:docPartObj>
    </w:sdtPr>
    <w:sdtEndPr>
      <w:rPr>
        <w:noProof/>
      </w:rPr>
    </w:sdtEndPr>
    <w:sdtContent>
      <w:p w:rsidR="009F04F3" w:rsidRDefault="006E78E5">
        <w:pPr>
          <w:pStyle w:val="Header"/>
          <w:jc w:val="right"/>
        </w:pPr>
        <w:r>
          <w:t xml:space="preserve">“THEY SAY I SAY”                                                                                                     </w:t>
        </w:r>
        <w:r>
          <w:t xml:space="preserve">                                                      </w:t>
        </w:r>
        <w:r>
          <w:fldChar w:fldCharType="begin"/>
        </w:r>
        <w:r>
          <w:instrText xml:space="preserve"> PAGE   \* MERGEFORMAT </w:instrText>
        </w:r>
        <w:r>
          <w:fldChar w:fldCharType="separate"/>
        </w:r>
        <w:r w:rsidR="00907485">
          <w:rPr>
            <w:noProof/>
          </w:rPr>
          <w:t>3</w:t>
        </w:r>
        <w:r>
          <w:rPr>
            <w:noProof/>
          </w:rPr>
          <w:fldChar w:fldCharType="end"/>
        </w:r>
      </w:p>
    </w:sdtContent>
  </w:sdt>
  <w:p w:rsidR="009F04F3" w:rsidRDefault="009F04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482D" w:rsidRDefault="006E78E5">
    <w:pPr>
      <w:pStyle w:val="Header"/>
    </w:pPr>
    <w:r>
      <w:t>Running head: “THEY SAY I SAY”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7A5"/>
    <w:rsid w:val="0003624F"/>
    <w:rsid w:val="000A482D"/>
    <w:rsid w:val="003461BE"/>
    <w:rsid w:val="003C65A1"/>
    <w:rsid w:val="0043492F"/>
    <w:rsid w:val="00521EFE"/>
    <w:rsid w:val="00560F90"/>
    <w:rsid w:val="005F06AB"/>
    <w:rsid w:val="006D7DCE"/>
    <w:rsid w:val="006E78E5"/>
    <w:rsid w:val="00751106"/>
    <w:rsid w:val="007E631C"/>
    <w:rsid w:val="007E7EAA"/>
    <w:rsid w:val="00841441"/>
    <w:rsid w:val="00907485"/>
    <w:rsid w:val="009948EA"/>
    <w:rsid w:val="009F04F3"/>
    <w:rsid w:val="009F77A5"/>
    <w:rsid w:val="00A641B2"/>
    <w:rsid w:val="00CB5544"/>
    <w:rsid w:val="00D03D15"/>
    <w:rsid w:val="00D450D5"/>
    <w:rsid w:val="00D540A4"/>
    <w:rsid w:val="00D66A96"/>
    <w:rsid w:val="00E2715D"/>
    <w:rsid w:val="00ED405F"/>
    <w:rsid w:val="00EE7FEA"/>
    <w:rsid w:val="00F36C82"/>
    <w:rsid w:val="00F95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6F1C92-53A4-4CC0-A792-7383DCD18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0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4F3"/>
  </w:style>
  <w:style w:type="paragraph" w:styleId="Footer">
    <w:name w:val="footer"/>
    <w:basedOn w:val="Normal"/>
    <w:link w:val="FooterChar"/>
    <w:uiPriority w:val="99"/>
    <w:unhideWhenUsed/>
    <w:rsid w:val="009F0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2019-02-11T22:48:00Z</dcterms:created>
  <dcterms:modified xsi:type="dcterms:W3CDTF">2019-02-11T22:48:00Z</dcterms:modified>
</cp:coreProperties>
</file>